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D31A1DB"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B72B8">
        <w:rPr>
          <w:bCs/>
          <w:noProof w:val="0"/>
          <w:sz w:val="24"/>
          <w:szCs w:val="24"/>
        </w:rPr>
        <w:t>4</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614ACE">
        <w:rPr>
          <w:bCs/>
          <w:noProof w:val="0"/>
          <w:sz w:val="24"/>
          <w:szCs w:val="24"/>
        </w:rPr>
        <w:t>17685</w:t>
      </w:r>
    </w:p>
    <w:p w14:paraId="231362B2" w14:textId="30992659" w:rsidR="00CD4C7B" w:rsidRPr="0069266C" w:rsidRDefault="00CB72B8" w:rsidP="00CD4C7B">
      <w:pPr>
        <w:pStyle w:val="Header"/>
        <w:tabs>
          <w:tab w:val="right" w:pos="9639"/>
        </w:tabs>
        <w:rPr>
          <w:bCs/>
          <w:noProof w:val="0"/>
          <w:sz w:val="24"/>
          <w:szCs w:val="24"/>
          <w:lang w:val="de-DE"/>
        </w:rPr>
      </w:pPr>
      <w:r w:rsidRPr="0069266C">
        <w:rPr>
          <w:rFonts w:eastAsia="SimSun"/>
          <w:noProof w:val="0"/>
          <w:sz w:val="24"/>
          <w:szCs w:val="24"/>
          <w:lang w:val="de-DE" w:eastAsia="zh-CN"/>
        </w:rPr>
        <w:t>Spokane, USA</w:t>
      </w:r>
      <w:r w:rsidR="008F396F" w:rsidRPr="0069266C">
        <w:rPr>
          <w:rFonts w:eastAsia="SimSun"/>
          <w:noProof w:val="0"/>
          <w:sz w:val="24"/>
          <w:szCs w:val="24"/>
          <w:lang w:val="de-DE" w:eastAsia="zh-CN"/>
        </w:rPr>
        <w:t xml:space="preserve">, </w:t>
      </w:r>
      <w:r w:rsidRPr="0069266C">
        <w:rPr>
          <w:rFonts w:eastAsia="SimSun"/>
          <w:noProof w:val="0"/>
          <w:sz w:val="24"/>
          <w:szCs w:val="24"/>
          <w:lang w:val="de-DE" w:eastAsia="zh-CN"/>
        </w:rPr>
        <w:t>12</w:t>
      </w:r>
      <w:r w:rsidR="008F396F" w:rsidRPr="0069266C">
        <w:rPr>
          <w:rFonts w:eastAsia="SimSun"/>
          <w:noProof w:val="0"/>
          <w:sz w:val="24"/>
          <w:szCs w:val="24"/>
          <w:lang w:val="de-DE" w:eastAsia="zh-CN"/>
        </w:rPr>
        <w:t xml:space="preserve"> - </w:t>
      </w:r>
      <w:r w:rsidRPr="0069266C">
        <w:rPr>
          <w:rFonts w:eastAsia="SimSun"/>
          <w:noProof w:val="0"/>
          <w:sz w:val="24"/>
          <w:szCs w:val="24"/>
          <w:lang w:val="de-DE" w:eastAsia="zh-CN"/>
        </w:rPr>
        <w:t>16</w:t>
      </w:r>
      <w:r w:rsidR="008F396F" w:rsidRPr="0069266C">
        <w:rPr>
          <w:rFonts w:eastAsia="SimSun"/>
          <w:noProof w:val="0"/>
          <w:sz w:val="24"/>
          <w:szCs w:val="24"/>
          <w:lang w:val="de-DE" w:eastAsia="zh-CN"/>
        </w:rPr>
        <w:t xml:space="preserve"> </w:t>
      </w:r>
      <w:r w:rsidRPr="0069266C">
        <w:rPr>
          <w:rFonts w:eastAsia="SimSun"/>
          <w:noProof w:val="0"/>
          <w:sz w:val="24"/>
          <w:szCs w:val="24"/>
          <w:lang w:val="de-DE" w:eastAsia="zh-CN"/>
        </w:rPr>
        <w:t>November</w:t>
      </w:r>
      <w:r w:rsidR="008F396F" w:rsidRPr="0069266C">
        <w:rPr>
          <w:rFonts w:eastAsia="SimSun"/>
          <w:noProof w:val="0"/>
          <w:sz w:val="24"/>
          <w:szCs w:val="24"/>
          <w:lang w:val="de-DE" w:eastAsia="zh-CN"/>
        </w:rPr>
        <w:t xml:space="preserve"> 2018</w:t>
      </w:r>
      <w:r w:rsidR="00364B41" w:rsidRPr="0069266C">
        <w:rPr>
          <w:rFonts w:eastAsia="SimSun"/>
          <w:noProof w:val="0"/>
          <w:sz w:val="24"/>
          <w:szCs w:val="24"/>
          <w:lang w:val="de-DE" w:eastAsia="zh-CN"/>
        </w:rPr>
        <w:tab/>
      </w:r>
    </w:p>
    <w:p w14:paraId="39BE00F6" w14:textId="77777777" w:rsidR="00CD4C7B" w:rsidRPr="0069266C" w:rsidRDefault="00CD4C7B" w:rsidP="00CD4C7B">
      <w:pPr>
        <w:pStyle w:val="Header"/>
        <w:rPr>
          <w:bCs/>
          <w:noProof w:val="0"/>
          <w:sz w:val="24"/>
          <w:lang w:val="de-DE"/>
        </w:rPr>
      </w:pPr>
    </w:p>
    <w:p w14:paraId="49379CFB" w14:textId="77777777" w:rsidR="00CD4C7B" w:rsidRPr="0069266C" w:rsidRDefault="00CD4C7B" w:rsidP="00CD4C7B">
      <w:pPr>
        <w:pStyle w:val="Header"/>
        <w:rPr>
          <w:bCs/>
          <w:noProof w:val="0"/>
          <w:sz w:val="24"/>
          <w:lang w:val="de-DE"/>
        </w:rPr>
      </w:pPr>
    </w:p>
    <w:p w14:paraId="758E2B30" w14:textId="4DE9C5A4" w:rsidR="00CD4C7B" w:rsidRPr="00F67182" w:rsidRDefault="00CD4C7B" w:rsidP="00CD4C7B">
      <w:pPr>
        <w:pStyle w:val="CRCoverPage"/>
        <w:tabs>
          <w:tab w:val="left" w:pos="1985"/>
        </w:tabs>
        <w:rPr>
          <w:rFonts w:cs="Arial"/>
          <w:b/>
          <w:bCs/>
          <w:sz w:val="24"/>
          <w:lang w:val="en-US" w:eastAsia="ja-JP"/>
        </w:rPr>
      </w:pPr>
      <w:r w:rsidRPr="00F67182">
        <w:rPr>
          <w:rFonts w:cs="Arial"/>
          <w:b/>
          <w:bCs/>
          <w:sz w:val="24"/>
          <w:lang w:val="en-US"/>
        </w:rPr>
        <w:t>Agenda item:</w:t>
      </w:r>
      <w:r w:rsidRPr="00F67182">
        <w:rPr>
          <w:rFonts w:cs="Arial"/>
          <w:b/>
          <w:bCs/>
          <w:sz w:val="24"/>
          <w:lang w:val="en-US"/>
        </w:rPr>
        <w:tab/>
      </w:r>
      <w:r w:rsidR="00FF3ADB" w:rsidRPr="00F67182">
        <w:rPr>
          <w:rFonts w:cs="Arial"/>
          <w:b/>
          <w:bCs/>
          <w:sz w:val="24"/>
          <w:lang w:val="en-US" w:eastAsia="ja-JP"/>
        </w:rPr>
        <w:t>12</w:t>
      </w:r>
      <w:r w:rsidR="002747EC" w:rsidRPr="00F67182">
        <w:rPr>
          <w:rFonts w:cs="Arial"/>
          <w:b/>
          <w:bCs/>
          <w:sz w:val="24"/>
          <w:lang w:val="en-US" w:eastAsia="ja-JP"/>
        </w:rPr>
        <w:t>.</w:t>
      </w:r>
      <w:r w:rsidR="00FF3ADB" w:rsidRPr="00F67182">
        <w:rPr>
          <w:rFonts w:cs="Arial"/>
          <w:b/>
          <w:bCs/>
          <w:sz w:val="24"/>
          <w:lang w:val="en-US" w:eastAsia="ja-JP"/>
        </w:rPr>
        <w:t>3</w:t>
      </w:r>
      <w:r w:rsidR="002747EC" w:rsidRPr="00F67182">
        <w:rPr>
          <w:rFonts w:cs="Arial"/>
          <w:b/>
          <w:bCs/>
          <w:sz w:val="24"/>
          <w:lang w:val="en-US" w:eastAsia="ja-JP"/>
        </w:rPr>
        <w:t>.</w:t>
      </w:r>
      <w:r w:rsidR="00FF3ADB" w:rsidRPr="00F67182">
        <w:rPr>
          <w:rFonts w:cs="Arial"/>
          <w:b/>
          <w:bCs/>
          <w:sz w:val="24"/>
          <w:lang w:val="en-US"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C4FF20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22EC3">
        <w:rPr>
          <w:rFonts w:ascii="Arial" w:hAnsi="Arial" w:cs="Arial"/>
          <w:b/>
          <w:bCs/>
          <w:sz w:val="24"/>
        </w:rPr>
        <w:t>On the s</w:t>
      </w:r>
      <w:r w:rsidR="00007B0E">
        <w:rPr>
          <w:rFonts w:ascii="Arial" w:hAnsi="Arial" w:cs="Arial"/>
          <w:b/>
          <w:bCs/>
          <w:sz w:val="24"/>
        </w:rPr>
        <w:t>cope of mobility robustness</w:t>
      </w:r>
    </w:p>
    <w:p w14:paraId="3AC3A0B1" w14:textId="74EB0DE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F3ADB" w:rsidRPr="00FF3ADB">
        <w:rPr>
          <w:rFonts w:ascii="Arial" w:hAnsi="Arial" w:cs="Arial"/>
          <w:b/>
          <w:bCs/>
          <w:sz w:val="24"/>
        </w:rPr>
        <w:t>LTE_feMob-Core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FF3ADB">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FEEF7F4" w:rsidR="00CD4C7B" w:rsidRPr="006E13D1" w:rsidRDefault="00884960" w:rsidP="00F67182">
      <w:pPr>
        <w:jc w:val="both"/>
      </w:pPr>
      <w:r>
        <w:t xml:space="preserve">In </w:t>
      </w:r>
      <w:r w:rsidR="00B56F2D">
        <w:fldChar w:fldCharType="begin"/>
      </w:r>
      <w:r w:rsidR="00B56F2D">
        <w:instrText xml:space="preserve"> REF _Ref527961719 \r \h </w:instrText>
      </w:r>
      <w:r w:rsidR="00395DB9">
        <w:instrText xml:space="preserve"> \* MERGEFORMAT </w:instrText>
      </w:r>
      <w:r w:rsidR="00B56F2D">
        <w:fldChar w:fldCharType="separate"/>
      </w:r>
      <w:r w:rsidR="00B56F2D">
        <w:t>[1]</w:t>
      </w:r>
      <w:r w:rsidR="00B56F2D">
        <w:fldChar w:fldCharType="end"/>
      </w:r>
      <w:r w:rsidR="00B56F2D">
        <w:t xml:space="preserve"> </w:t>
      </w:r>
      <w:r>
        <w:t>we have proposed to narrow down the focus of the robustness part of the work item “</w:t>
      </w:r>
      <w:r w:rsidR="00C07CF0" w:rsidRPr="002C2C7D">
        <w:t>Even further mobility enhancement in E-UTRAN</w:t>
      </w:r>
      <w:r>
        <w:t>”</w:t>
      </w:r>
      <w:r w:rsidR="00C07CF0">
        <w:t xml:space="preserve"> </w:t>
      </w:r>
      <w:r w:rsidR="00B56F2D">
        <w:fldChar w:fldCharType="begin"/>
      </w:r>
      <w:r w:rsidR="00B56F2D">
        <w:instrText xml:space="preserve"> REF _Ref527961733 \r \h </w:instrText>
      </w:r>
      <w:r w:rsidR="00395DB9">
        <w:instrText xml:space="preserve"> \* MERGEFORMAT </w:instrText>
      </w:r>
      <w:r w:rsidR="00B56F2D">
        <w:fldChar w:fldCharType="separate"/>
      </w:r>
      <w:r w:rsidR="00B56F2D">
        <w:t>[2]</w:t>
      </w:r>
      <w:r w:rsidR="00B56F2D">
        <w:fldChar w:fldCharType="end"/>
      </w:r>
      <w:r w:rsidR="00C07CF0">
        <w:t>. However, in RAN2#103bis most of the companies seem to prefer not to limit the scope too much. In this contribution we would like to summarize the status of the discussion.</w:t>
      </w:r>
    </w:p>
    <w:p w14:paraId="127ACA6D" w14:textId="63229F5D" w:rsidR="00CD4C7B" w:rsidRPr="006E13D1" w:rsidRDefault="00CD4C7B" w:rsidP="00CD4C7B">
      <w:pPr>
        <w:pStyle w:val="Heading1"/>
      </w:pPr>
      <w:r w:rsidRPr="006E13D1">
        <w:t>2</w:t>
      </w:r>
      <w:r w:rsidRPr="006E13D1">
        <w:tab/>
      </w:r>
      <w:r w:rsidR="00C07CF0">
        <w:t>Definition of mobility robustness</w:t>
      </w:r>
    </w:p>
    <w:p w14:paraId="3884F67D" w14:textId="4014D272" w:rsidR="00CD4C7B" w:rsidRDefault="00C07CF0" w:rsidP="00F67182">
      <w:pPr>
        <w:jc w:val="both"/>
      </w:pPr>
      <w:r>
        <w:t xml:space="preserve">As discussed </w:t>
      </w:r>
      <w:r w:rsidR="005B74D1">
        <w:t xml:space="preserve">also </w:t>
      </w:r>
      <w:r>
        <w:t xml:space="preserve">in </w:t>
      </w:r>
      <w:r w:rsidR="00B56F2D">
        <w:fldChar w:fldCharType="begin"/>
      </w:r>
      <w:r w:rsidR="00B56F2D">
        <w:instrText xml:space="preserve"> REF _Ref527961745 \r \h </w:instrText>
      </w:r>
      <w:r w:rsidR="00395DB9">
        <w:instrText xml:space="preserve"> \* MERGEFORMAT </w:instrText>
      </w:r>
      <w:r w:rsidR="00B56F2D">
        <w:fldChar w:fldCharType="separate"/>
      </w:r>
      <w:r w:rsidR="00B56F2D">
        <w:t>[3]</w:t>
      </w:r>
      <w:r w:rsidR="00B56F2D">
        <w:fldChar w:fldCharType="end"/>
      </w:r>
      <w:r>
        <w:t xml:space="preserve">, mobility robustness </w:t>
      </w:r>
      <w:r w:rsidR="005B74D1">
        <w:t>can</w:t>
      </w:r>
      <w:r>
        <w:t xml:space="preserve"> comprise two aspects:</w:t>
      </w:r>
    </w:p>
    <w:p w14:paraId="32F187D7" w14:textId="79DA40F8" w:rsidR="00C07CF0" w:rsidRDefault="00C07CF0" w:rsidP="00F67182">
      <w:pPr>
        <w:pStyle w:val="ListParagraph"/>
        <w:numPr>
          <w:ilvl w:val="0"/>
          <w:numId w:val="5"/>
        </w:numPr>
        <w:jc w:val="both"/>
      </w:pPr>
      <w:r>
        <w:t xml:space="preserve">Reducing </w:t>
      </w:r>
      <w:r w:rsidR="004100FC">
        <w:t xml:space="preserve">the </w:t>
      </w:r>
      <w:r w:rsidR="00F17F28">
        <w:t>number</w:t>
      </w:r>
      <w:r w:rsidR="004100FC">
        <w:t xml:space="preserve"> of </w:t>
      </w:r>
      <w:r>
        <w:t>mobility failures (radio link failures and handover failures)</w:t>
      </w:r>
      <w:r w:rsidR="00E21504">
        <w:t>.</w:t>
      </w:r>
    </w:p>
    <w:p w14:paraId="34D7FE19" w14:textId="4417FAF7" w:rsidR="00C07CF0" w:rsidRDefault="00C07CF0" w:rsidP="00F67182">
      <w:pPr>
        <w:pStyle w:val="ListParagraph"/>
        <w:numPr>
          <w:ilvl w:val="0"/>
          <w:numId w:val="5"/>
        </w:numPr>
        <w:jc w:val="both"/>
      </w:pPr>
      <w:r>
        <w:t>Improving recovery from failures.</w:t>
      </w:r>
    </w:p>
    <w:p w14:paraId="7852793D" w14:textId="447546A0" w:rsidR="00C07CF0" w:rsidRDefault="00C95D6A" w:rsidP="00F67182">
      <w:pPr>
        <w:jc w:val="both"/>
      </w:pPr>
      <w:r>
        <w:t>In our opinion, p</w:t>
      </w:r>
      <w:r w:rsidR="00C07CF0">
        <w:t xml:space="preserve">riority shall be on reducing mobility failures, but improving recovery from failures </w:t>
      </w:r>
      <w:r>
        <w:t>can</w:t>
      </w:r>
      <w:r w:rsidR="00C07CF0">
        <w:t xml:space="preserve"> </w:t>
      </w:r>
      <w:r w:rsidR="00E21504">
        <w:t xml:space="preserve">be </w:t>
      </w:r>
      <w:r w:rsidR="00C07CF0">
        <w:t>also considered.</w:t>
      </w:r>
    </w:p>
    <w:p w14:paraId="22EDA783" w14:textId="7E0DEDBE" w:rsidR="002039A7" w:rsidRDefault="002039A7" w:rsidP="00F67182">
      <w:pPr>
        <w:jc w:val="both"/>
        <w:rPr>
          <w:b/>
        </w:rPr>
      </w:pPr>
      <w:r w:rsidRPr="00662828">
        <w:rPr>
          <w:b/>
        </w:rPr>
        <w:t xml:space="preserve">Proposal </w:t>
      </w:r>
      <w:r>
        <w:rPr>
          <w:b/>
        </w:rPr>
        <w:t>1</w:t>
      </w:r>
      <w:r w:rsidRPr="00662828">
        <w:rPr>
          <w:b/>
        </w:rPr>
        <w:t xml:space="preserve">: </w:t>
      </w:r>
      <w:r>
        <w:rPr>
          <w:b/>
        </w:rPr>
        <w:t>For mobility robustness, reducing mobility failures (</w:t>
      </w:r>
      <w:r w:rsidR="00C95D6A">
        <w:rPr>
          <w:b/>
        </w:rPr>
        <w:t xml:space="preserve">i.e. </w:t>
      </w:r>
      <w:r>
        <w:rPr>
          <w:b/>
        </w:rPr>
        <w:t>RLF</w:t>
      </w:r>
      <w:r w:rsidR="00C95D6A">
        <w:rPr>
          <w:b/>
        </w:rPr>
        <w:t>s</w:t>
      </w:r>
      <w:r>
        <w:rPr>
          <w:b/>
        </w:rPr>
        <w:t xml:space="preserve"> and HoF</w:t>
      </w:r>
      <w:r w:rsidR="00C95D6A">
        <w:rPr>
          <w:b/>
        </w:rPr>
        <w:t>s</w:t>
      </w:r>
      <w:r>
        <w:rPr>
          <w:b/>
        </w:rPr>
        <w:t xml:space="preserve">) shall be investigated with highest priority, but improving recovery from failures </w:t>
      </w:r>
      <w:r w:rsidR="00C95D6A">
        <w:rPr>
          <w:b/>
        </w:rPr>
        <w:t>can</w:t>
      </w:r>
      <w:r>
        <w:rPr>
          <w:b/>
        </w:rPr>
        <w:t xml:space="preserve"> be</w:t>
      </w:r>
      <w:r w:rsidR="006D0B7C">
        <w:rPr>
          <w:b/>
        </w:rPr>
        <w:t xml:space="preserve"> also</w:t>
      </w:r>
      <w:r>
        <w:rPr>
          <w:b/>
        </w:rPr>
        <w:t xml:space="preserve"> considered.</w:t>
      </w:r>
    </w:p>
    <w:p w14:paraId="08A63FC1" w14:textId="3FA8B394" w:rsidR="00C07CF0" w:rsidRDefault="00C07CF0" w:rsidP="00F67182">
      <w:pPr>
        <w:jc w:val="both"/>
      </w:pPr>
      <w:r>
        <w:t xml:space="preserve">RAN2#103bis has also discussed whether SCG change should be part of the investigations. We observe that </w:t>
      </w:r>
      <w:r w:rsidR="004D08D5">
        <w:t xml:space="preserve">SCG change </w:t>
      </w:r>
      <w:r w:rsidR="008B70BC">
        <w:t xml:space="preserve">neither </w:t>
      </w:r>
      <w:r w:rsidR="004D08D5">
        <w:t>lead</w:t>
      </w:r>
      <w:r w:rsidR="009F5B1E">
        <w:t>s</w:t>
      </w:r>
      <w:r w:rsidR="004D08D5">
        <w:t xml:space="preserve"> to radio link failure nor to handover failure, so it will not </w:t>
      </w:r>
      <w:r w:rsidR="009B5D70">
        <w:t>be</w:t>
      </w:r>
      <w:r w:rsidR="004D08D5">
        <w:t xml:space="preserve"> the primary</w:t>
      </w:r>
      <w:r w:rsidR="0041392F">
        <w:t xml:space="preserve"> source of</w:t>
      </w:r>
      <w:r w:rsidR="004D08D5">
        <w:t xml:space="preserve"> mobility robustness problems</w:t>
      </w:r>
      <w:r w:rsidR="0041392F">
        <w:t>,</w:t>
      </w:r>
      <w:r w:rsidR="004D08D5">
        <w:t xml:space="preserve"> as defined above. Instead, SCG change may lead to S-RLF which does not cause re-establishment, but the S-RLF will reported as SCG failure information to the network via the continu</w:t>
      </w:r>
      <w:r w:rsidR="00913079">
        <w:t>ed</w:t>
      </w:r>
      <w:r w:rsidR="004D08D5">
        <w:t xml:space="preserve"> MCG connection. So</w:t>
      </w:r>
      <w:r w:rsidR="00DC58A6">
        <w:t>,</w:t>
      </w:r>
      <w:r w:rsidR="004D08D5">
        <w:t xml:space="preserve"> we do not think that SCG change shall be investigated</w:t>
      </w:r>
      <w:r w:rsidR="00913079">
        <w:t xml:space="preserve"> for the robustness enhancements</w:t>
      </w:r>
      <w:r w:rsidR="004D08D5">
        <w:t>.</w:t>
      </w:r>
    </w:p>
    <w:p w14:paraId="216D27BC" w14:textId="45FE1D11" w:rsidR="002039A7" w:rsidRDefault="002039A7" w:rsidP="00F67182">
      <w:pPr>
        <w:jc w:val="both"/>
        <w:rPr>
          <w:b/>
        </w:rPr>
      </w:pPr>
      <w:r w:rsidRPr="00662828">
        <w:rPr>
          <w:b/>
        </w:rPr>
        <w:t xml:space="preserve">Proposal </w:t>
      </w:r>
      <w:r>
        <w:rPr>
          <w:b/>
        </w:rPr>
        <w:t>2</w:t>
      </w:r>
      <w:r w:rsidRPr="00662828">
        <w:rPr>
          <w:b/>
        </w:rPr>
        <w:t xml:space="preserve">: </w:t>
      </w:r>
      <w:r>
        <w:rPr>
          <w:b/>
        </w:rPr>
        <w:t>SCG change does not lead to RLF</w:t>
      </w:r>
      <w:r w:rsidR="0026733E">
        <w:rPr>
          <w:b/>
        </w:rPr>
        <w:t>s</w:t>
      </w:r>
      <w:r>
        <w:rPr>
          <w:b/>
        </w:rPr>
        <w:t xml:space="preserve"> or HoF</w:t>
      </w:r>
      <w:r w:rsidR="0026733E">
        <w:rPr>
          <w:b/>
        </w:rPr>
        <w:t>s</w:t>
      </w:r>
      <w:r>
        <w:rPr>
          <w:b/>
        </w:rPr>
        <w:t xml:space="preserve"> and therefor</w:t>
      </w:r>
      <w:r w:rsidR="0026733E">
        <w:rPr>
          <w:b/>
        </w:rPr>
        <w:t>e</w:t>
      </w:r>
      <w:r>
        <w:rPr>
          <w:b/>
        </w:rPr>
        <w:t xml:space="preserve"> </w:t>
      </w:r>
      <w:r w:rsidR="0026733E">
        <w:rPr>
          <w:b/>
        </w:rPr>
        <w:t xml:space="preserve">this scenario </w:t>
      </w:r>
      <w:r>
        <w:rPr>
          <w:b/>
        </w:rPr>
        <w:t>is not in the focus</w:t>
      </w:r>
      <w:r w:rsidR="0026733E">
        <w:rPr>
          <w:b/>
        </w:rPr>
        <w:t xml:space="preserve"> of mobility robustness </w:t>
      </w:r>
      <w:r w:rsidR="009B43D7">
        <w:rPr>
          <w:b/>
        </w:rPr>
        <w:t>improvements</w:t>
      </w:r>
      <w:r>
        <w:rPr>
          <w:b/>
        </w:rPr>
        <w:t>.</w:t>
      </w:r>
    </w:p>
    <w:p w14:paraId="4E280B69" w14:textId="79D613C2" w:rsidR="004D08D5" w:rsidRDefault="004D08D5" w:rsidP="00F67182">
      <w:pPr>
        <w:jc w:val="both"/>
      </w:pPr>
      <w:r>
        <w:t>Candidates for reducing mobility failures are primarily the conditional handover and dual connected handover.</w:t>
      </w:r>
      <w:r w:rsidR="00DC58A6">
        <w:t xml:space="preserve"> Existing solutions for mobility robustness shall be taken into account</w:t>
      </w:r>
      <w:r w:rsidR="00546CE8">
        <w:t xml:space="preserve"> as well</w:t>
      </w:r>
      <w:r w:rsidR="00DC58A6">
        <w:t>.</w:t>
      </w:r>
      <w:r w:rsidR="00953B76">
        <w:t xml:space="preserve"> We</w:t>
      </w:r>
      <w:r w:rsidR="00FA6FE0">
        <w:t xml:space="preserve"> provide more details in our related TDocs </w:t>
      </w:r>
      <w:r w:rsidR="002D0841">
        <w:fldChar w:fldCharType="begin"/>
      </w:r>
      <w:r w:rsidR="002D0841">
        <w:instrText xml:space="preserve"> REF _Ref528049911 \r \h </w:instrText>
      </w:r>
      <w:r w:rsidR="002D0841">
        <w:fldChar w:fldCharType="separate"/>
      </w:r>
      <w:r w:rsidR="002D0841">
        <w:t>[4]</w:t>
      </w:r>
      <w:r w:rsidR="002D0841">
        <w:fldChar w:fldCharType="end"/>
      </w:r>
      <w:r w:rsidR="002D0841">
        <w:fldChar w:fldCharType="begin"/>
      </w:r>
      <w:r w:rsidR="002D0841">
        <w:instrText xml:space="preserve"> REF _Ref528049913 \r \h </w:instrText>
      </w:r>
      <w:r w:rsidR="002D0841">
        <w:fldChar w:fldCharType="separate"/>
      </w:r>
      <w:r w:rsidR="002D0841">
        <w:t>[5]</w:t>
      </w:r>
      <w:r w:rsidR="002D0841">
        <w:fldChar w:fldCharType="end"/>
      </w:r>
      <w:r w:rsidR="002D0841">
        <w:t>.</w:t>
      </w:r>
    </w:p>
    <w:p w14:paraId="735C9CFE" w14:textId="03ED86A9" w:rsidR="00DC58A6" w:rsidRDefault="00DC58A6" w:rsidP="00F67182">
      <w:pPr>
        <w:jc w:val="both"/>
      </w:pPr>
      <w:r>
        <w:t xml:space="preserve">Candidates for </w:t>
      </w:r>
      <w:r w:rsidR="003F7BCF">
        <w:t xml:space="preserve">enhancing </w:t>
      </w:r>
      <w:r>
        <w:t xml:space="preserve">recovery from failures shall be based on </w:t>
      </w:r>
      <w:r w:rsidR="00B56F2D">
        <w:t>improved RRC connection re-establishment</w:t>
      </w:r>
      <w:r>
        <w:t xml:space="preserve"> and </w:t>
      </w:r>
      <w:r w:rsidR="00B56F2D">
        <w:t xml:space="preserve">on improved T312, also taking into account the new solutions for </w:t>
      </w:r>
      <w:r w:rsidR="003F7BCF">
        <w:t xml:space="preserve">reducing the number of </w:t>
      </w:r>
      <w:r w:rsidR="00B56F2D">
        <w:t>failure</w:t>
      </w:r>
      <w:r w:rsidR="003F7BCF">
        <w:t>s</w:t>
      </w:r>
      <w:r w:rsidR="00B56F2D">
        <w:t>.</w:t>
      </w:r>
      <w:r w:rsidR="00B44359">
        <w:t xml:space="preserve"> We provide more insights on </w:t>
      </w:r>
      <w:r w:rsidR="00D22AAA">
        <w:t xml:space="preserve">failure recovery </w:t>
      </w:r>
      <w:r w:rsidR="000F386A">
        <w:t xml:space="preserve">in our associated paper </w:t>
      </w:r>
      <w:r w:rsidR="000F386A">
        <w:fldChar w:fldCharType="begin"/>
      </w:r>
      <w:r w:rsidR="000F386A">
        <w:instrText xml:space="preserve"> REF _Ref528050195 \r \h </w:instrText>
      </w:r>
      <w:r w:rsidR="000F386A">
        <w:fldChar w:fldCharType="separate"/>
      </w:r>
      <w:r w:rsidR="000F386A">
        <w:t>[6]</w:t>
      </w:r>
      <w:r w:rsidR="000F386A">
        <w:fldChar w:fldCharType="end"/>
      </w:r>
      <w:r w:rsidR="000F386A">
        <w:t>.</w:t>
      </w:r>
    </w:p>
    <w:p w14:paraId="5FF0E443" w14:textId="44DF2441" w:rsidR="00CD4C7B" w:rsidRDefault="00CD4C7B" w:rsidP="00CD4C7B">
      <w:pPr>
        <w:pStyle w:val="Heading1"/>
      </w:pPr>
      <w:r w:rsidRPr="006E13D1">
        <w:t>3</w:t>
      </w:r>
      <w:r w:rsidRPr="006E13D1">
        <w:tab/>
      </w:r>
      <w:r w:rsidR="009053F3">
        <w:t>Scenarios</w:t>
      </w:r>
    </w:p>
    <w:p w14:paraId="190C81D1" w14:textId="449AD0CC" w:rsidR="00CD4C7B" w:rsidRDefault="009053F3" w:rsidP="00F67182">
      <w:pPr>
        <w:jc w:val="both"/>
      </w:pPr>
      <w:r>
        <w:t xml:space="preserve">In </w:t>
      </w:r>
      <w:r>
        <w:fldChar w:fldCharType="begin"/>
      </w:r>
      <w:r>
        <w:instrText xml:space="preserve"> REF _Ref527961719 \r \h </w:instrText>
      </w:r>
      <w:r w:rsidR="00395DB9">
        <w:instrText xml:space="preserve"> \* MERGEFORMAT </w:instrText>
      </w:r>
      <w:r>
        <w:fldChar w:fldCharType="separate"/>
      </w:r>
      <w:r>
        <w:t>[1]</w:t>
      </w:r>
      <w:r>
        <w:fldChar w:fldCharType="end"/>
      </w:r>
      <w:r>
        <w:t xml:space="preserve"> we have proposed to </w:t>
      </w:r>
      <w:r w:rsidR="000F386A">
        <w:t xml:space="preserve">prioritize </w:t>
      </w:r>
      <w:r>
        <w:t>the intra-frequency and homogenous layout</w:t>
      </w:r>
      <w:r w:rsidR="00A937EE">
        <w:t xml:space="preserve"> scenarios</w:t>
      </w:r>
      <w:r>
        <w:t>. Intra-frequency cell changes are more challenging than inter-frequency cell changes due to the mutual interference between source and target cell. Therefore, we still believe that intra-frequency scenario shall be investigated with highest priority, but we also agree that solutions shall also be applicable to inter-frequency cell changes.</w:t>
      </w:r>
    </w:p>
    <w:p w14:paraId="00665AFB" w14:textId="680EC527" w:rsidR="009053F3" w:rsidRPr="009053F3" w:rsidRDefault="009053F3" w:rsidP="00F67182">
      <w:pPr>
        <w:jc w:val="both"/>
        <w:rPr>
          <w:b/>
        </w:rPr>
      </w:pPr>
      <w:r w:rsidRPr="00662828">
        <w:rPr>
          <w:b/>
        </w:rPr>
        <w:t xml:space="preserve">Proposal </w:t>
      </w:r>
      <w:r w:rsidR="007A6F67">
        <w:rPr>
          <w:b/>
        </w:rPr>
        <w:t>3</w:t>
      </w:r>
      <w:r w:rsidRPr="00662828">
        <w:rPr>
          <w:b/>
        </w:rPr>
        <w:t xml:space="preserve">: </w:t>
      </w:r>
      <w:r>
        <w:rPr>
          <w:b/>
        </w:rPr>
        <w:t>Intra-frequency scenarios (where source and target</w:t>
      </w:r>
      <w:r w:rsidR="008B4149">
        <w:rPr>
          <w:b/>
        </w:rPr>
        <w:t xml:space="preserve"> cells</w:t>
      </w:r>
      <w:r>
        <w:rPr>
          <w:b/>
        </w:rPr>
        <w:t xml:space="preserve"> share the same carrier frequency) shall b</w:t>
      </w:r>
      <w:r w:rsidR="0050537F">
        <w:rPr>
          <w:b/>
        </w:rPr>
        <w:t>e treated with highest priority</w:t>
      </w:r>
      <w:bookmarkStart w:id="0" w:name="_GoBack"/>
      <w:bookmarkEnd w:id="0"/>
      <w:r>
        <w:rPr>
          <w:b/>
        </w:rPr>
        <w:t xml:space="preserve"> but </w:t>
      </w:r>
      <w:r w:rsidR="00A937EE">
        <w:rPr>
          <w:b/>
        </w:rPr>
        <w:t xml:space="preserve">resulting </w:t>
      </w:r>
      <w:r>
        <w:rPr>
          <w:b/>
        </w:rPr>
        <w:t>solutions shall also be applicable to inter-frequency scenarios</w:t>
      </w:r>
      <w:r w:rsidR="00212D4B">
        <w:rPr>
          <w:b/>
        </w:rPr>
        <w:t xml:space="preserve"> (where source and target </w:t>
      </w:r>
      <w:r w:rsidR="00273F5D">
        <w:rPr>
          <w:b/>
        </w:rPr>
        <w:t xml:space="preserve">cells </w:t>
      </w:r>
      <w:r w:rsidR="00212D4B">
        <w:rPr>
          <w:b/>
        </w:rPr>
        <w:t>use different carrier frequencies)</w:t>
      </w:r>
      <w:r>
        <w:rPr>
          <w:b/>
        </w:rPr>
        <w:t>.</w:t>
      </w:r>
    </w:p>
    <w:p w14:paraId="570845BB" w14:textId="45A782E5" w:rsidR="009053F3" w:rsidRDefault="009053F3" w:rsidP="00F67182">
      <w:pPr>
        <w:jc w:val="both"/>
      </w:pPr>
      <w:r>
        <w:lastRenderedPageBreak/>
        <w:t>Similarly, homogeneous scenarios will be more relevant, since macro cells and small cells share the same carrier frequency only in some limited cases. Nevertheless, solutions shall also be applicable to the heterogeneous case, where macros and small cells do share the same carrier frequency.</w:t>
      </w:r>
    </w:p>
    <w:p w14:paraId="0AA4B7F4" w14:textId="548DB8AF" w:rsidR="009F22AD" w:rsidRDefault="009053F3" w:rsidP="00F67182">
      <w:pPr>
        <w:jc w:val="both"/>
      </w:pPr>
      <w:r w:rsidRPr="00662828">
        <w:rPr>
          <w:b/>
        </w:rPr>
        <w:t xml:space="preserve">Proposal </w:t>
      </w:r>
      <w:r w:rsidR="007A6F67">
        <w:rPr>
          <w:b/>
        </w:rPr>
        <w:t>4</w:t>
      </w:r>
      <w:r w:rsidRPr="00662828">
        <w:rPr>
          <w:b/>
        </w:rPr>
        <w:t xml:space="preserve">: </w:t>
      </w:r>
      <w:r>
        <w:rPr>
          <w:b/>
        </w:rPr>
        <w:t>Homogeneous scenarios (where macros and small cells do not share the same carrier frequency) shall be treated with highest priority, but solutions shall also be applicable to heterogeneous scenarios (where macros and small cells do share the same carrier frequency).</w:t>
      </w:r>
    </w:p>
    <w:p w14:paraId="6C31BA3E" w14:textId="4514F312" w:rsidR="009F22AD" w:rsidRDefault="009F22AD" w:rsidP="009F22AD">
      <w:pPr>
        <w:pStyle w:val="Heading1"/>
      </w:pPr>
      <w:r>
        <w:t>4</w:t>
      </w:r>
      <w:r w:rsidRPr="006E13D1">
        <w:tab/>
      </w:r>
      <w:r>
        <w:t>Conclusion</w:t>
      </w:r>
    </w:p>
    <w:p w14:paraId="5A3432CC" w14:textId="77777777" w:rsidR="00F013E4" w:rsidRDefault="00F013E4" w:rsidP="00CD4C7B">
      <w:r>
        <w:t xml:space="preserve">In this paper we have provided Nokia’s view on the scope of mobility robustness improvements in </w:t>
      </w:r>
      <w:r w:rsidRPr="00F013E4">
        <w:t xml:space="preserve">LTE_feMob-Core </w:t>
      </w:r>
      <w:r>
        <w:t>WI. As a result, the following proposals have been made:</w:t>
      </w:r>
    </w:p>
    <w:p w14:paraId="096DD27F" w14:textId="59A3AD18" w:rsidR="00F013E4" w:rsidRDefault="00F013E4" w:rsidP="00F013E4">
      <w:pPr>
        <w:jc w:val="both"/>
        <w:rPr>
          <w:b/>
        </w:rPr>
      </w:pPr>
      <w:r w:rsidRPr="00662828">
        <w:rPr>
          <w:b/>
        </w:rPr>
        <w:t xml:space="preserve">Proposal </w:t>
      </w:r>
      <w:r>
        <w:rPr>
          <w:b/>
        </w:rPr>
        <w:t>1</w:t>
      </w:r>
      <w:r w:rsidRPr="00662828">
        <w:rPr>
          <w:b/>
        </w:rPr>
        <w:t xml:space="preserve">: </w:t>
      </w:r>
      <w:r>
        <w:rPr>
          <w:b/>
        </w:rPr>
        <w:t>For mobility robustness, reducing mobility failures (i.e. RLFs and HoFs) shall be investigated with highest priority, but improving recovery from failures can also be considered.</w:t>
      </w:r>
    </w:p>
    <w:p w14:paraId="27289BCC" w14:textId="77777777" w:rsidR="00F013E4" w:rsidRDefault="00F013E4" w:rsidP="00F013E4">
      <w:pPr>
        <w:jc w:val="both"/>
        <w:rPr>
          <w:b/>
        </w:rPr>
      </w:pPr>
      <w:r w:rsidRPr="00662828">
        <w:rPr>
          <w:b/>
        </w:rPr>
        <w:t xml:space="preserve">Proposal </w:t>
      </w:r>
      <w:r>
        <w:rPr>
          <w:b/>
        </w:rPr>
        <w:t>2</w:t>
      </w:r>
      <w:r w:rsidRPr="00662828">
        <w:rPr>
          <w:b/>
        </w:rPr>
        <w:t xml:space="preserve">: </w:t>
      </w:r>
      <w:r>
        <w:rPr>
          <w:b/>
        </w:rPr>
        <w:t>SCG change does not lead to RLFs or HoFs and therefore this scenario is not in the focus of mobility robustness improvements.</w:t>
      </w:r>
    </w:p>
    <w:p w14:paraId="4A4C4C66" w14:textId="4E535132" w:rsidR="00F013E4" w:rsidRPr="009053F3" w:rsidRDefault="00F013E4" w:rsidP="00F013E4">
      <w:pPr>
        <w:jc w:val="both"/>
        <w:rPr>
          <w:b/>
        </w:rPr>
      </w:pPr>
      <w:r w:rsidRPr="00662828">
        <w:rPr>
          <w:b/>
        </w:rPr>
        <w:t xml:space="preserve">Proposal </w:t>
      </w:r>
      <w:r>
        <w:rPr>
          <w:b/>
        </w:rPr>
        <w:t>3</w:t>
      </w:r>
      <w:r w:rsidRPr="00662828">
        <w:rPr>
          <w:b/>
        </w:rPr>
        <w:t xml:space="preserve">: </w:t>
      </w:r>
      <w:r>
        <w:rPr>
          <w:b/>
        </w:rPr>
        <w:t>Intra-frequency scenarios (where source and target share the same carrier frequency) shall be</w:t>
      </w:r>
      <w:r w:rsidR="0050537F">
        <w:rPr>
          <w:b/>
        </w:rPr>
        <w:t xml:space="preserve"> treated with highest priority </w:t>
      </w:r>
      <w:r>
        <w:rPr>
          <w:b/>
        </w:rPr>
        <w:t>but resulting solutions shall also be applicable to inter-frequency scenarios (where source and target use different carrier frequencies).</w:t>
      </w:r>
    </w:p>
    <w:p w14:paraId="2A09C251" w14:textId="3157E0A7" w:rsidR="002039A7" w:rsidRPr="006E13D1" w:rsidRDefault="00F013E4" w:rsidP="00CD4C7B">
      <w:r w:rsidRPr="00662828">
        <w:rPr>
          <w:b/>
        </w:rPr>
        <w:t xml:space="preserve">Proposal </w:t>
      </w:r>
      <w:r>
        <w:rPr>
          <w:b/>
        </w:rPr>
        <w:t>4</w:t>
      </w:r>
      <w:r w:rsidRPr="00662828">
        <w:rPr>
          <w:b/>
        </w:rPr>
        <w:t xml:space="preserve">: </w:t>
      </w:r>
      <w:r>
        <w:rPr>
          <w:b/>
        </w:rPr>
        <w:t>Homogeneous scenarios (where macros and small cells do not share the same carrier frequency) shall be treated with highest priority, but solutions shall also be applicable to heterogeneous scenarios (where macros and small cells do share the same carrier frequency).</w:t>
      </w:r>
    </w:p>
    <w:p w14:paraId="0FDCFAC2" w14:textId="77777777" w:rsidR="00CD4C7B" w:rsidRPr="006E13D1" w:rsidRDefault="00CD4C7B" w:rsidP="00CD4C7B">
      <w:pPr>
        <w:pStyle w:val="Heading1"/>
      </w:pPr>
      <w:r w:rsidRPr="006E13D1">
        <w:t>References</w:t>
      </w:r>
    </w:p>
    <w:p w14:paraId="52DBDF53" w14:textId="02BD04B1" w:rsidR="00DC58A6" w:rsidRDefault="00DC58A6" w:rsidP="009D3455">
      <w:pPr>
        <w:numPr>
          <w:ilvl w:val="0"/>
          <w:numId w:val="4"/>
        </w:numPr>
        <w:overflowPunct w:val="0"/>
        <w:autoSpaceDE w:val="0"/>
        <w:autoSpaceDN w:val="0"/>
        <w:adjustRightInd w:val="0"/>
        <w:textAlignment w:val="baseline"/>
      </w:pPr>
      <w:bookmarkStart w:id="1" w:name="_Ref527961719"/>
      <w:bookmarkStart w:id="2" w:name="_Ref75086397"/>
      <w:r w:rsidRPr="00DC58A6">
        <w:t>R2-1814317</w:t>
      </w:r>
      <w:r>
        <w:t xml:space="preserve"> </w:t>
      </w:r>
      <w:r w:rsidR="009D3455" w:rsidRPr="009D3455">
        <w:rPr>
          <w:i/>
          <w:iCs/>
        </w:rPr>
        <w:t>Potential Improvements of Mobility Robustness in LTE</w:t>
      </w:r>
      <w:r>
        <w:t xml:space="preserve"> - </w:t>
      </w:r>
      <w:r w:rsidR="009D3455" w:rsidRPr="009D3455">
        <w:t>Nokia, Nokia Shanghai Bell</w:t>
      </w:r>
      <w:bookmarkEnd w:id="1"/>
    </w:p>
    <w:p w14:paraId="2869AA2F" w14:textId="4FD3FA42" w:rsidR="009D3455" w:rsidRDefault="009D3455" w:rsidP="009D3455">
      <w:pPr>
        <w:numPr>
          <w:ilvl w:val="0"/>
          <w:numId w:val="4"/>
        </w:numPr>
        <w:overflowPunct w:val="0"/>
        <w:autoSpaceDE w:val="0"/>
        <w:autoSpaceDN w:val="0"/>
        <w:adjustRightInd w:val="0"/>
        <w:textAlignment w:val="baseline"/>
      </w:pPr>
      <w:bookmarkStart w:id="3" w:name="_Ref527961733"/>
      <w:r w:rsidRPr="009D3455">
        <w:t>RP-181544</w:t>
      </w:r>
      <w:r>
        <w:t xml:space="preserve"> </w:t>
      </w:r>
      <w:r w:rsidRPr="009D3455">
        <w:rPr>
          <w:i/>
          <w:iCs/>
        </w:rPr>
        <w:t>Even further mobility enhancement in E-UTRAN</w:t>
      </w:r>
      <w:r>
        <w:t xml:space="preserve"> – Rel16 Work Item</w:t>
      </w:r>
      <w:bookmarkEnd w:id="3"/>
    </w:p>
    <w:p w14:paraId="4AA5C936" w14:textId="13523F29" w:rsidR="00CD4C7B" w:rsidRDefault="00DC58A6" w:rsidP="00DC58A6">
      <w:pPr>
        <w:numPr>
          <w:ilvl w:val="0"/>
          <w:numId w:val="4"/>
        </w:numPr>
        <w:overflowPunct w:val="0"/>
        <w:autoSpaceDE w:val="0"/>
        <w:autoSpaceDN w:val="0"/>
        <w:adjustRightInd w:val="0"/>
        <w:textAlignment w:val="baseline"/>
      </w:pPr>
      <w:bookmarkStart w:id="4" w:name="_Ref527961745"/>
      <w:r w:rsidRPr="00DC58A6">
        <w:t>R2-1814317</w:t>
      </w:r>
      <w:r>
        <w:t xml:space="preserve"> </w:t>
      </w:r>
      <w:bookmarkEnd w:id="2"/>
      <w:r w:rsidRPr="00DC58A6">
        <w:rPr>
          <w:i/>
          <w:iCs/>
        </w:rPr>
        <w:t>Overview on mobility robustness enhancements in LTE</w:t>
      </w:r>
      <w:r w:rsidR="0090466A">
        <w:t xml:space="preserve"> </w:t>
      </w:r>
      <w:r w:rsidR="00FA6FE0">
        <w:t>–</w:t>
      </w:r>
      <w:r w:rsidR="0090466A">
        <w:t xml:space="preserve"> </w:t>
      </w:r>
      <w:r w:rsidRPr="00DC58A6">
        <w:t>Ericsson</w:t>
      </w:r>
      <w:bookmarkEnd w:id="4"/>
    </w:p>
    <w:p w14:paraId="4ADECD52" w14:textId="68993DC8" w:rsidR="00FA6FE0" w:rsidRDefault="00614ACE" w:rsidP="00614ACE">
      <w:pPr>
        <w:numPr>
          <w:ilvl w:val="0"/>
          <w:numId w:val="4"/>
        </w:numPr>
        <w:overflowPunct w:val="0"/>
        <w:autoSpaceDE w:val="0"/>
        <w:autoSpaceDN w:val="0"/>
        <w:adjustRightInd w:val="0"/>
        <w:textAlignment w:val="baseline"/>
      </w:pPr>
      <w:bookmarkStart w:id="5" w:name="_Ref528049911"/>
      <w:r>
        <w:t>R2-1817686</w:t>
      </w:r>
      <w:r w:rsidR="00FA6FE0">
        <w:t xml:space="preserve"> </w:t>
      </w:r>
      <w:r w:rsidRPr="00F67182">
        <w:rPr>
          <w:i/>
        </w:rPr>
        <w:t>Baseline of Conditional Handover and its optional enhancements</w:t>
      </w:r>
      <w:r w:rsidR="00FA6FE0">
        <w:t xml:space="preserve"> </w:t>
      </w:r>
      <w:r w:rsidR="002D0841">
        <w:t>–</w:t>
      </w:r>
      <w:r w:rsidR="00FA6FE0">
        <w:t xml:space="preserve"> Nokia</w:t>
      </w:r>
      <w:bookmarkEnd w:id="5"/>
      <w:r>
        <w:t>, Nokia Shanghai Bell</w:t>
      </w:r>
    </w:p>
    <w:p w14:paraId="5B1C8FA6" w14:textId="01632124" w:rsidR="002D0841" w:rsidRDefault="00614ACE" w:rsidP="00614ACE">
      <w:pPr>
        <w:numPr>
          <w:ilvl w:val="0"/>
          <w:numId w:val="4"/>
        </w:numPr>
        <w:overflowPunct w:val="0"/>
        <w:autoSpaceDE w:val="0"/>
        <w:autoSpaceDN w:val="0"/>
        <w:adjustRightInd w:val="0"/>
        <w:textAlignment w:val="baseline"/>
      </w:pPr>
      <w:bookmarkStart w:id="6" w:name="_Ref528049913"/>
      <w:r>
        <w:t xml:space="preserve">R2-1817687 </w:t>
      </w:r>
      <w:r w:rsidRPr="00F67182">
        <w:rPr>
          <w:i/>
        </w:rPr>
        <w:t>Performance of Conditional Handover – simulation results</w:t>
      </w:r>
      <w:r w:rsidR="002D0841">
        <w:t xml:space="preserve"> – Nokia</w:t>
      </w:r>
      <w:bookmarkEnd w:id="6"/>
      <w:r>
        <w:t>, Nokia Shanghai Bell</w:t>
      </w:r>
    </w:p>
    <w:p w14:paraId="53417725" w14:textId="54C3B1E2" w:rsidR="002D0841" w:rsidRPr="006E13D1" w:rsidRDefault="002D0841" w:rsidP="00614ACE">
      <w:pPr>
        <w:numPr>
          <w:ilvl w:val="0"/>
          <w:numId w:val="4"/>
        </w:numPr>
        <w:overflowPunct w:val="0"/>
        <w:autoSpaceDE w:val="0"/>
        <w:autoSpaceDN w:val="0"/>
        <w:adjustRightInd w:val="0"/>
        <w:textAlignment w:val="baseline"/>
      </w:pPr>
      <w:bookmarkStart w:id="7" w:name="_Ref528050195"/>
      <w:r>
        <w:t>R2-18</w:t>
      </w:r>
      <w:r w:rsidR="00614ACE">
        <w:t>17688</w:t>
      </w:r>
      <w:r>
        <w:t xml:space="preserve"> </w:t>
      </w:r>
      <w:r w:rsidR="00614ACE" w:rsidRPr="00F67182">
        <w:rPr>
          <w:i/>
        </w:rPr>
        <w:t>Considerations for failure recovery in LTE</w:t>
      </w:r>
      <w:r>
        <w:t xml:space="preserve"> – Nokia</w:t>
      </w:r>
      <w:r w:rsidR="00614ACE">
        <w:t>, Nokia Shanghai Bell</w:t>
      </w:r>
      <w:bookmarkEnd w:id="7"/>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BBB2B" w14:textId="77777777" w:rsidR="001706D7" w:rsidRDefault="001706D7">
      <w:r>
        <w:separator/>
      </w:r>
    </w:p>
  </w:endnote>
  <w:endnote w:type="continuationSeparator" w:id="0">
    <w:p w14:paraId="0263690C" w14:textId="77777777" w:rsidR="001706D7" w:rsidRDefault="001706D7">
      <w:r>
        <w:continuationSeparator/>
      </w:r>
    </w:p>
  </w:endnote>
  <w:endnote w:type="continuationNotice" w:id="1">
    <w:p w14:paraId="30060CA1" w14:textId="77777777" w:rsidR="001706D7" w:rsidRDefault="00170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97024" w14:textId="77777777" w:rsidR="001706D7" w:rsidRDefault="001706D7">
      <w:r>
        <w:separator/>
      </w:r>
    </w:p>
  </w:footnote>
  <w:footnote w:type="continuationSeparator" w:id="0">
    <w:p w14:paraId="51AB4D36" w14:textId="77777777" w:rsidR="001706D7" w:rsidRDefault="001706D7">
      <w:r>
        <w:continuationSeparator/>
      </w:r>
    </w:p>
  </w:footnote>
  <w:footnote w:type="continuationNotice" w:id="1">
    <w:p w14:paraId="19CC85AD" w14:textId="77777777" w:rsidR="001706D7" w:rsidRDefault="001706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6F4330D"/>
    <w:multiLevelType w:val="hybridMultilevel"/>
    <w:tmpl w:val="84F2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E0"/>
    <w:rsid w:val="00007B0E"/>
    <w:rsid w:val="0003078C"/>
    <w:rsid w:val="00033397"/>
    <w:rsid w:val="00040095"/>
    <w:rsid w:val="00047461"/>
    <w:rsid w:val="00066601"/>
    <w:rsid w:val="00080512"/>
    <w:rsid w:val="0008763E"/>
    <w:rsid w:val="00090468"/>
    <w:rsid w:val="000A63A7"/>
    <w:rsid w:val="000B7BCF"/>
    <w:rsid w:val="000C522B"/>
    <w:rsid w:val="000D58AB"/>
    <w:rsid w:val="000F386A"/>
    <w:rsid w:val="00112F1A"/>
    <w:rsid w:val="00145075"/>
    <w:rsid w:val="001706D7"/>
    <w:rsid w:val="001741A0"/>
    <w:rsid w:val="00175FA0"/>
    <w:rsid w:val="001761BD"/>
    <w:rsid w:val="00194CD0"/>
    <w:rsid w:val="001B49C9"/>
    <w:rsid w:val="001C4F79"/>
    <w:rsid w:val="001E512B"/>
    <w:rsid w:val="001F168B"/>
    <w:rsid w:val="001F7831"/>
    <w:rsid w:val="002039A7"/>
    <w:rsid w:val="00204045"/>
    <w:rsid w:val="0020712B"/>
    <w:rsid w:val="00212D4B"/>
    <w:rsid w:val="0022606D"/>
    <w:rsid w:val="00231728"/>
    <w:rsid w:val="00244B24"/>
    <w:rsid w:val="002508FD"/>
    <w:rsid w:val="002610D8"/>
    <w:rsid w:val="0026733E"/>
    <w:rsid w:val="00273F5D"/>
    <w:rsid w:val="002747EC"/>
    <w:rsid w:val="002855BF"/>
    <w:rsid w:val="002D0841"/>
    <w:rsid w:val="002E74A4"/>
    <w:rsid w:val="002F0D22"/>
    <w:rsid w:val="002F3761"/>
    <w:rsid w:val="00313EE2"/>
    <w:rsid w:val="003172DC"/>
    <w:rsid w:val="0031776D"/>
    <w:rsid w:val="00322EC3"/>
    <w:rsid w:val="00325AE3"/>
    <w:rsid w:val="00326069"/>
    <w:rsid w:val="003409AD"/>
    <w:rsid w:val="0035462D"/>
    <w:rsid w:val="00364B41"/>
    <w:rsid w:val="00395DB9"/>
    <w:rsid w:val="003A41EF"/>
    <w:rsid w:val="003B40AD"/>
    <w:rsid w:val="003C4E37"/>
    <w:rsid w:val="003E16BE"/>
    <w:rsid w:val="003F4E28"/>
    <w:rsid w:val="003F7BCF"/>
    <w:rsid w:val="004006E8"/>
    <w:rsid w:val="00401855"/>
    <w:rsid w:val="004100FC"/>
    <w:rsid w:val="0041392F"/>
    <w:rsid w:val="004312D1"/>
    <w:rsid w:val="00433631"/>
    <w:rsid w:val="004633FA"/>
    <w:rsid w:val="00477455"/>
    <w:rsid w:val="004A0DB1"/>
    <w:rsid w:val="004A1F7B"/>
    <w:rsid w:val="004B129B"/>
    <w:rsid w:val="004C44D2"/>
    <w:rsid w:val="004D08D5"/>
    <w:rsid w:val="004D3578"/>
    <w:rsid w:val="004D380D"/>
    <w:rsid w:val="004E213A"/>
    <w:rsid w:val="00503171"/>
    <w:rsid w:val="0050537F"/>
    <w:rsid w:val="00506C28"/>
    <w:rsid w:val="00534DA0"/>
    <w:rsid w:val="00543E6C"/>
    <w:rsid w:val="00546CE8"/>
    <w:rsid w:val="00562228"/>
    <w:rsid w:val="00565087"/>
    <w:rsid w:val="0056573F"/>
    <w:rsid w:val="005B74D1"/>
    <w:rsid w:val="005D2430"/>
    <w:rsid w:val="005E1560"/>
    <w:rsid w:val="00611566"/>
    <w:rsid w:val="00614ACE"/>
    <w:rsid w:val="00646D99"/>
    <w:rsid w:val="00656910"/>
    <w:rsid w:val="0069266C"/>
    <w:rsid w:val="006B5D22"/>
    <w:rsid w:val="006C66D8"/>
    <w:rsid w:val="006D0B7C"/>
    <w:rsid w:val="006D1E24"/>
    <w:rsid w:val="006E1417"/>
    <w:rsid w:val="006F6A2C"/>
    <w:rsid w:val="006F7843"/>
    <w:rsid w:val="00710201"/>
    <w:rsid w:val="00720A96"/>
    <w:rsid w:val="007342B5"/>
    <w:rsid w:val="00734A5B"/>
    <w:rsid w:val="00744E76"/>
    <w:rsid w:val="00757D40"/>
    <w:rsid w:val="00766DC6"/>
    <w:rsid w:val="00781F0F"/>
    <w:rsid w:val="0078727C"/>
    <w:rsid w:val="0079049D"/>
    <w:rsid w:val="00793DC5"/>
    <w:rsid w:val="007A6F67"/>
    <w:rsid w:val="007B18D8"/>
    <w:rsid w:val="007C095F"/>
    <w:rsid w:val="007C2DD0"/>
    <w:rsid w:val="007F5F9E"/>
    <w:rsid w:val="008028A4"/>
    <w:rsid w:val="00813245"/>
    <w:rsid w:val="008768CA"/>
    <w:rsid w:val="00877EF9"/>
    <w:rsid w:val="00880559"/>
    <w:rsid w:val="00884960"/>
    <w:rsid w:val="00887206"/>
    <w:rsid w:val="008A4C6D"/>
    <w:rsid w:val="008B4149"/>
    <w:rsid w:val="008B5306"/>
    <w:rsid w:val="008B70BC"/>
    <w:rsid w:val="008D2E4D"/>
    <w:rsid w:val="008D7928"/>
    <w:rsid w:val="008F1211"/>
    <w:rsid w:val="008F396F"/>
    <w:rsid w:val="0090271F"/>
    <w:rsid w:val="00902DB9"/>
    <w:rsid w:val="0090466A"/>
    <w:rsid w:val="009053F3"/>
    <w:rsid w:val="00913079"/>
    <w:rsid w:val="00936071"/>
    <w:rsid w:val="00940212"/>
    <w:rsid w:val="00942AC3"/>
    <w:rsid w:val="00942EC2"/>
    <w:rsid w:val="00953B76"/>
    <w:rsid w:val="00961B32"/>
    <w:rsid w:val="00970A77"/>
    <w:rsid w:val="00970DB3"/>
    <w:rsid w:val="00974BB0"/>
    <w:rsid w:val="0099785D"/>
    <w:rsid w:val="009A0AF3"/>
    <w:rsid w:val="009B07CD"/>
    <w:rsid w:val="009B43D7"/>
    <w:rsid w:val="009B5D70"/>
    <w:rsid w:val="009C19E9"/>
    <w:rsid w:val="009D3455"/>
    <w:rsid w:val="009D74A6"/>
    <w:rsid w:val="009F22AD"/>
    <w:rsid w:val="009F5B1E"/>
    <w:rsid w:val="00A10F02"/>
    <w:rsid w:val="00A204CA"/>
    <w:rsid w:val="00A53724"/>
    <w:rsid w:val="00A71998"/>
    <w:rsid w:val="00A82346"/>
    <w:rsid w:val="00A865A5"/>
    <w:rsid w:val="00A937EE"/>
    <w:rsid w:val="00A9671C"/>
    <w:rsid w:val="00AA1553"/>
    <w:rsid w:val="00AC54AC"/>
    <w:rsid w:val="00B03BEE"/>
    <w:rsid w:val="00B05962"/>
    <w:rsid w:val="00B15449"/>
    <w:rsid w:val="00B27303"/>
    <w:rsid w:val="00B44359"/>
    <w:rsid w:val="00B47FD1"/>
    <w:rsid w:val="00B516BB"/>
    <w:rsid w:val="00B51E13"/>
    <w:rsid w:val="00B56F2D"/>
    <w:rsid w:val="00B81765"/>
    <w:rsid w:val="00BC3555"/>
    <w:rsid w:val="00C07CF0"/>
    <w:rsid w:val="00C12B51"/>
    <w:rsid w:val="00C24650"/>
    <w:rsid w:val="00C25465"/>
    <w:rsid w:val="00C33079"/>
    <w:rsid w:val="00C83A13"/>
    <w:rsid w:val="00C9068C"/>
    <w:rsid w:val="00C92967"/>
    <w:rsid w:val="00C95D6A"/>
    <w:rsid w:val="00CA3D0C"/>
    <w:rsid w:val="00CA5F07"/>
    <w:rsid w:val="00CA6181"/>
    <w:rsid w:val="00CA654B"/>
    <w:rsid w:val="00CB0067"/>
    <w:rsid w:val="00CB72B8"/>
    <w:rsid w:val="00CD4C7B"/>
    <w:rsid w:val="00CE06E7"/>
    <w:rsid w:val="00D22AAA"/>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420E"/>
    <w:rsid w:val="00DC309B"/>
    <w:rsid w:val="00DC4DA2"/>
    <w:rsid w:val="00DC58A6"/>
    <w:rsid w:val="00E21504"/>
    <w:rsid w:val="00E43437"/>
    <w:rsid w:val="00E46A22"/>
    <w:rsid w:val="00E471CF"/>
    <w:rsid w:val="00E62835"/>
    <w:rsid w:val="00E75F74"/>
    <w:rsid w:val="00E77645"/>
    <w:rsid w:val="00E83697"/>
    <w:rsid w:val="00EA486B"/>
    <w:rsid w:val="00EC4A25"/>
    <w:rsid w:val="00EF434F"/>
    <w:rsid w:val="00F013E4"/>
    <w:rsid w:val="00F025A2"/>
    <w:rsid w:val="00F07388"/>
    <w:rsid w:val="00F17F28"/>
    <w:rsid w:val="00F2026E"/>
    <w:rsid w:val="00F2210A"/>
    <w:rsid w:val="00F366DD"/>
    <w:rsid w:val="00F37743"/>
    <w:rsid w:val="00F54A3D"/>
    <w:rsid w:val="00F54CB0"/>
    <w:rsid w:val="00F653B8"/>
    <w:rsid w:val="00F67182"/>
    <w:rsid w:val="00F71B89"/>
    <w:rsid w:val="00F7353C"/>
    <w:rsid w:val="00F76F8F"/>
    <w:rsid w:val="00F941DF"/>
    <w:rsid w:val="00FA1266"/>
    <w:rsid w:val="00FA6FE0"/>
    <w:rsid w:val="00FB36FA"/>
    <w:rsid w:val="00FC1192"/>
    <w:rsid w:val="00FC53D3"/>
    <w:rsid w:val="00FE251B"/>
    <w:rsid w:val="00FF3A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C07CF0"/>
    <w:pPr>
      <w:ind w:left="720"/>
      <w:contextualSpacing/>
    </w:pPr>
  </w:style>
  <w:style w:type="character" w:styleId="CommentReference">
    <w:name w:val="annotation reference"/>
    <w:basedOn w:val="DefaultParagraphFont"/>
    <w:rsid w:val="008A4C6D"/>
    <w:rPr>
      <w:sz w:val="16"/>
      <w:szCs w:val="16"/>
    </w:rPr>
  </w:style>
  <w:style w:type="paragraph" w:styleId="CommentText">
    <w:name w:val="annotation text"/>
    <w:basedOn w:val="Normal"/>
    <w:link w:val="CommentTextChar"/>
    <w:rsid w:val="008A4C6D"/>
  </w:style>
  <w:style w:type="character" w:customStyle="1" w:styleId="CommentTextChar">
    <w:name w:val="Comment Text Char"/>
    <w:basedOn w:val="DefaultParagraphFont"/>
    <w:link w:val="CommentText"/>
    <w:rsid w:val="008A4C6D"/>
    <w:rPr>
      <w:lang w:eastAsia="en-US"/>
    </w:rPr>
  </w:style>
  <w:style w:type="paragraph" w:styleId="CommentSubject">
    <w:name w:val="annotation subject"/>
    <w:basedOn w:val="CommentText"/>
    <w:next w:val="CommentText"/>
    <w:link w:val="CommentSubjectChar"/>
    <w:rsid w:val="008A4C6D"/>
    <w:rPr>
      <w:b/>
      <w:bCs/>
    </w:rPr>
  </w:style>
  <w:style w:type="character" w:customStyle="1" w:styleId="CommentSubjectChar">
    <w:name w:val="Comment Subject Char"/>
    <w:basedOn w:val="CommentTextChar"/>
    <w:link w:val="CommentSubject"/>
    <w:rsid w:val="008A4C6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5AIRPNAIUNRU-859666464-4007</_dlc_DocId>
    <_dlc_DocIdUrl xmlns="71c5aaf6-e6ce-465b-b873-5148d2a4c105">
      <Url>https://nokia.sharepoint.com/sites/c5g/e2earch/_layouts/15/DocIdRedir.aspx?ID=5AIRPNAIUNRU-859666464-4007</Url>
      <Description>5AIRPNAIUNRU-859666464-4007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511CD0D-5EA5-49FE-B2F6-D820275CC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2</Pages>
  <Words>820</Words>
  <Characters>4677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5487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59</cp:revision>
  <dcterms:created xsi:type="dcterms:W3CDTF">2018-10-22T06:27:00Z</dcterms:created>
  <dcterms:modified xsi:type="dcterms:W3CDTF">2018-11-01T22:40:00Z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d2a7d80f-c8be-4554-b8cb-aa8c51758569</vt:lpwstr>
  </property>
</Properties>
</file>